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8" w:rsidRPr="00BD7E88" w:rsidRDefault="00BD7E88" w:rsidP="008145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 С. Русанова</w:t>
      </w:r>
    </w:p>
    <w:p w:rsidR="00BD7E88" w:rsidRPr="00BD7E88" w:rsidRDefault="00BD7E88" w:rsidP="008145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7E88">
        <w:rPr>
          <w:rFonts w:ascii="Times New Roman" w:hAnsi="Times New Roman" w:cs="Times New Roman"/>
          <w:sz w:val="20"/>
          <w:szCs w:val="20"/>
        </w:rPr>
        <w:t>Сыктывкарский Государственный Университет, студентка</w:t>
      </w:r>
    </w:p>
    <w:p w:rsidR="00BD7E88" w:rsidRDefault="00BD7E88" w:rsidP="00BD7E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3E4B" w:rsidRPr="009D430A" w:rsidRDefault="00DA7906" w:rsidP="00BD7E8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30A">
        <w:rPr>
          <w:rFonts w:ascii="Times New Roman" w:hAnsi="Times New Roman" w:cs="Times New Roman"/>
          <w:b/>
          <w:sz w:val="20"/>
          <w:szCs w:val="20"/>
        </w:rPr>
        <w:t xml:space="preserve">Права ребенка в Конституции </w:t>
      </w:r>
      <w:r w:rsidR="00BD7E88" w:rsidRPr="009D430A">
        <w:rPr>
          <w:rFonts w:ascii="Times New Roman" w:hAnsi="Times New Roman" w:cs="Times New Roman"/>
          <w:b/>
          <w:sz w:val="20"/>
          <w:szCs w:val="20"/>
        </w:rPr>
        <w:t xml:space="preserve">СССР </w:t>
      </w:r>
      <w:r w:rsidRPr="009D430A">
        <w:rPr>
          <w:rFonts w:ascii="Times New Roman" w:hAnsi="Times New Roman" w:cs="Times New Roman"/>
          <w:b/>
          <w:sz w:val="20"/>
          <w:szCs w:val="20"/>
        </w:rPr>
        <w:t>1936 г. и «детство» в ГУЛАГе.</w:t>
      </w:r>
    </w:p>
    <w:p w:rsidR="00BD7E88" w:rsidRPr="00BD7E88" w:rsidRDefault="00BD7E88" w:rsidP="00BD7E8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Аннотация: </w:t>
      </w:r>
      <w:r>
        <w:rPr>
          <w:rFonts w:ascii="Times New Roman" w:hAnsi="Times New Roman" w:cs="Times New Roman"/>
          <w:sz w:val="20"/>
          <w:szCs w:val="20"/>
        </w:rPr>
        <w:t xml:space="preserve">В статье рассматривается проблема реализации обозначенных в Конституции СССР 1936 г. прав ребенка в контексте существования тоталитарного режима и активного функционирования системы исправительно-трудовых лагерей (на примере Коми АССР). </w:t>
      </w:r>
    </w:p>
    <w:p w:rsidR="00BD7E88" w:rsidRPr="00BD7E88" w:rsidRDefault="00BD7E88" w:rsidP="008145E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sz w:val="20"/>
          <w:szCs w:val="20"/>
        </w:rPr>
        <w:t xml:space="preserve">Права ребенка, Конституция, 1936 г., ГУЛАГ, дети ГУЛАГа, исправительно-трудовые лагеря, Коми </w:t>
      </w:r>
      <w:r w:rsidR="003A3010">
        <w:rPr>
          <w:rFonts w:ascii="Times New Roman" w:hAnsi="Times New Roman" w:cs="Times New Roman"/>
          <w:sz w:val="20"/>
          <w:szCs w:val="20"/>
        </w:rPr>
        <w:t>АО</w:t>
      </w:r>
      <w:r w:rsidR="003A3010" w:rsidRPr="003A301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АССР.</w:t>
      </w:r>
    </w:p>
    <w:p w:rsidR="00BD7E88" w:rsidRPr="003A3010" w:rsidRDefault="0084598A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 xml:space="preserve">Для начала стоит задаться вопросом, возможно ли сравнивать правовое положение детей в ГУЛАГе с правами, прописанными в Конституции 1936 г. – одной из самых демократических Конституций рассматриваемого периода? Ответ не может быть однозначным. </w:t>
      </w:r>
      <w:r w:rsidR="0073209C" w:rsidRPr="003A3010">
        <w:rPr>
          <w:rFonts w:ascii="Times New Roman" w:hAnsi="Times New Roman" w:cs="Times New Roman"/>
          <w:sz w:val="20"/>
          <w:szCs w:val="20"/>
        </w:rPr>
        <w:t xml:space="preserve">Здесь играют </w:t>
      </w:r>
      <w:r w:rsidR="006E6589" w:rsidRPr="003A3010">
        <w:rPr>
          <w:rFonts w:ascii="Times New Roman" w:hAnsi="Times New Roman" w:cs="Times New Roman"/>
          <w:sz w:val="20"/>
          <w:szCs w:val="20"/>
        </w:rPr>
        <w:t>роль разные факторы.</w:t>
      </w:r>
    </w:p>
    <w:p w:rsidR="0073209C" w:rsidRPr="003A3010" w:rsidRDefault="0073209C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>Полагаю, вопрос правовой защиты ребенка неоспорим в любое время, будь то  Россия современная или же советская. Известно, что в советский период вопрос защиты материнства и детства (одно неразрывно связано с другим)</w:t>
      </w:r>
      <w:r w:rsidR="008145E9" w:rsidRPr="003A3010">
        <w:rPr>
          <w:rFonts w:ascii="Times New Roman" w:hAnsi="Times New Roman" w:cs="Times New Roman"/>
          <w:sz w:val="20"/>
          <w:szCs w:val="20"/>
        </w:rPr>
        <w:t xml:space="preserve"> приобрел особое значение. Это связано с тем, что Советское государство и общество позиционировало себя с новыми гуманистическими системами, в которых человеческие ресурсы играли значительную роль в становление новых типов общественных и государственных отношений. </w:t>
      </w:r>
      <w:r w:rsidR="006E6589" w:rsidRPr="003A3010">
        <w:rPr>
          <w:rFonts w:ascii="Times New Roman" w:hAnsi="Times New Roman" w:cs="Times New Roman"/>
          <w:sz w:val="20"/>
          <w:szCs w:val="20"/>
        </w:rPr>
        <w:t>Формирование советского гражданина, способного совершенствовать социалистические отношения, было важнейшим направлением деятельности политической системы того периода, одной из задач права – правовое регулирование было нацелено на поддержание правопорядка, законности чрез систему мер государственного характера, ориентированных в том числе на охрану материнства и детства</w:t>
      </w:r>
      <w:r w:rsidR="006E6589"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  <w:r w:rsidR="006E6589" w:rsidRPr="003A30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3A8A" w:rsidRPr="003A3010" w:rsidRDefault="00453A8A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>Ввиду того, что в Конституции 1936 г. данной проблематике посвящена лишь одна статья (ст.122)</w:t>
      </w:r>
      <w:r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Pr="003A3010">
        <w:rPr>
          <w:rFonts w:ascii="Times New Roman" w:hAnsi="Times New Roman" w:cs="Times New Roman"/>
          <w:sz w:val="20"/>
          <w:szCs w:val="20"/>
        </w:rPr>
        <w:t xml:space="preserve"> автор, с целью воссоздания более объективной и полной картины вынужден обращаться к ряду документов, раскрывающих приводимое положение в Конституции более обширно. </w:t>
      </w:r>
    </w:p>
    <w:p w:rsidR="00A274A4" w:rsidRPr="003A3010" w:rsidRDefault="004E0402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>Думаю, следует обозначить</w:t>
      </w:r>
      <w:r w:rsidR="00A274A4" w:rsidRPr="003A3010">
        <w:rPr>
          <w:rFonts w:ascii="Times New Roman" w:hAnsi="Times New Roman" w:cs="Times New Roman"/>
          <w:sz w:val="20"/>
          <w:szCs w:val="20"/>
        </w:rPr>
        <w:t xml:space="preserve"> и географические рамки исследования т.к. понятие «детство» в ГУЛАГе подразумевает под собой всю территорию СССР, точнее все лагеря, расположенные на территории СССР, в которых находились дети. В конкретном случае исследование строиться лишь на данных относящихся к лагерям, размещаемым на территории бывшей Коми АО/АССР. </w:t>
      </w:r>
    </w:p>
    <w:p w:rsidR="002373E2" w:rsidRPr="003A3010" w:rsidRDefault="00935AA9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Оговаривая вопрос, в отношении</w:t>
      </w:r>
      <w:r w:rsidRPr="003A3010">
        <w:rPr>
          <w:rFonts w:ascii="Times New Roman" w:hAnsi="Times New Roman" w:cs="Times New Roman"/>
          <w:sz w:val="20"/>
          <w:szCs w:val="20"/>
        </w:rPr>
        <w:t xml:space="preserve"> научной литературы по указанной проблеме, автор статьи может лишь сделать предположение, что, учитывая относительную новизну «детской» тематики ГУЛАГа, такая литература имеется, но вполне возможно, что аспект правового регулирования жизни ребенка в ГУЛАГе еще не освещен. </w:t>
      </w:r>
      <w:r w:rsidR="003A3010" w:rsidRPr="003A3010">
        <w:rPr>
          <w:rFonts w:ascii="Times New Roman" w:hAnsi="Times New Roman" w:cs="Times New Roman"/>
          <w:sz w:val="20"/>
          <w:szCs w:val="20"/>
        </w:rPr>
        <w:t>Повторю, что это лишь</w:t>
      </w:r>
      <w:r w:rsidR="002373E2" w:rsidRPr="003A3010">
        <w:rPr>
          <w:rFonts w:ascii="Times New Roman" w:hAnsi="Times New Roman" w:cs="Times New Roman"/>
          <w:sz w:val="20"/>
          <w:szCs w:val="20"/>
        </w:rPr>
        <w:t xml:space="preserve"> предположени</w:t>
      </w:r>
      <w:r w:rsidR="003A3010" w:rsidRPr="003A3010">
        <w:rPr>
          <w:rFonts w:ascii="Times New Roman" w:hAnsi="Times New Roman" w:cs="Times New Roman"/>
          <w:sz w:val="20"/>
          <w:szCs w:val="20"/>
        </w:rPr>
        <w:t>е.</w:t>
      </w:r>
    </w:p>
    <w:p w:rsidR="002373E2" w:rsidRPr="003A3010" w:rsidRDefault="002373E2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>И последнее, чтобы хотелось упомянуть во введение</w:t>
      </w:r>
      <w:r w:rsidR="00FE450E" w:rsidRPr="003A3010">
        <w:rPr>
          <w:rFonts w:ascii="Times New Roman" w:hAnsi="Times New Roman" w:cs="Times New Roman"/>
          <w:sz w:val="20"/>
          <w:szCs w:val="20"/>
        </w:rPr>
        <w:t>, с целью предварить какие-либо вопросы или недопонимание, это то, что рассматриваемая проблематика будет связана с категорией малол</w:t>
      </w:r>
      <w:r w:rsidR="00D723C9" w:rsidRPr="003A3010">
        <w:rPr>
          <w:rFonts w:ascii="Times New Roman" w:hAnsi="Times New Roman" w:cs="Times New Roman"/>
          <w:sz w:val="20"/>
          <w:szCs w:val="20"/>
        </w:rPr>
        <w:t>етних детей, возрастная группа которых составляет</w:t>
      </w:r>
      <w:r w:rsidR="00FE450E" w:rsidRPr="003A3010">
        <w:rPr>
          <w:rFonts w:ascii="Times New Roman" w:hAnsi="Times New Roman" w:cs="Times New Roman"/>
          <w:sz w:val="20"/>
          <w:szCs w:val="20"/>
        </w:rPr>
        <w:t xml:space="preserve"> от 0 до 3-х лет. Это опять-таки связано с источниковедческой базой, которую предоставляют архивные и опубликованные материалы.  </w:t>
      </w:r>
    </w:p>
    <w:p w:rsidR="004E53E0" w:rsidRPr="003A3010" w:rsidRDefault="004E53E0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 xml:space="preserve">Перейдем к рассмотрению вопроса. </w:t>
      </w:r>
    </w:p>
    <w:p w:rsidR="004E53E0" w:rsidRPr="003A3010" w:rsidRDefault="00940030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>Парадоксально, но, при изучении Конституции 1936 г., в первую очередь нам может броситься в глаза, казалось бы, право, которое, по сути</w:t>
      </w:r>
      <w:r w:rsidR="00512F7B" w:rsidRPr="003A3010">
        <w:rPr>
          <w:rFonts w:ascii="Times New Roman" w:hAnsi="Times New Roman" w:cs="Times New Roman"/>
          <w:sz w:val="20"/>
          <w:szCs w:val="20"/>
        </w:rPr>
        <w:t>,</w:t>
      </w:r>
      <w:r w:rsidRPr="003A3010">
        <w:rPr>
          <w:rFonts w:ascii="Times New Roman" w:hAnsi="Times New Roman" w:cs="Times New Roman"/>
          <w:sz w:val="20"/>
          <w:szCs w:val="20"/>
        </w:rPr>
        <w:t xml:space="preserve"> является неотчуждаемым и должно быть проп</w:t>
      </w:r>
      <w:r w:rsidR="004E0402" w:rsidRPr="003A3010">
        <w:rPr>
          <w:rFonts w:ascii="Times New Roman" w:hAnsi="Times New Roman" w:cs="Times New Roman"/>
          <w:sz w:val="20"/>
          <w:szCs w:val="20"/>
        </w:rPr>
        <w:t>исано первой строкой</w:t>
      </w:r>
      <w:r w:rsidRPr="003A3010">
        <w:rPr>
          <w:rFonts w:ascii="Times New Roman" w:hAnsi="Times New Roman" w:cs="Times New Roman"/>
          <w:sz w:val="20"/>
          <w:szCs w:val="20"/>
        </w:rPr>
        <w:t xml:space="preserve"> отсутствует. Это право на жизнь!  </w:t>
      </w:r>
      <w:r w:rsidR="00512F7B" w:rsidRPr="003A3010">
        <w:rPr>
          <w:rFonts w:ascii="Times New Roman" w:hAnsi="Times New Roman" w:cs="Times New Roman"/>
          <w:sz w:val="20"/>
          <w:szCs w:val="20"/>
        </w:rPr>
        <w:t>Возможно, оно подразумевается как само собой разумеющееся и поэтому не требует прописи. Исходя из статьи, посвященной защите материнства и детства, мы видим, что особое внимание государство уделяло в</w:t>
      </w:r>
      <w:r w:rsidR="00AF19E0" w:rsidRPr="003A3010">
        <w:rPr>
          <w:rFonts w:ascii="Times New Roman" w:hAnsi="Times New Roman" w:cs="Times New Roman"/>
          <w:sz w:val="20"/>
          <w:szCs w:val="20"/>
        </w:rPr>
        <w:t xml:space="preserve">опросу охраны интересов женщины в период беременности. На это время предоставлялись отпуска с сохранением содержания. Нечто подобное можно наблюдать и в лагерях. Конечно, вопрос об оплате труда заключенных не может даже подниматься т.к. общеизвестный </w:t>
      </w:r>
      <w:r w:rsidR="00767475" w:rsidRPr="003A3010">
        <w:rPr>
          <w:rFonts w:ascii="Times New Roman" w:hAnsi="Times New Roman" w:cs="Times New Roman"/>
          <w:sz w:val="20"/>
          <w:szCs w:val="20"/>
        </w:rPr>
        <w:t>ф</w:t>
      </w:r>
      <w:r w:rsidR="00AF19E0" w:rsidRPr="003A3010">
        <w:rPr>
          <w:rFonts w:ascii="Times New Roman" w:hAnsi="Times New Roman" w:cs="Times New Roman"/>
          <w:sz w:val="20"/>
          <w:szCs w:val="20"/>
        </w:rPr>
        <w:t xml:space="preserve">акт, что труд их не оплачивался. Но, что касается более щадящего режима для беременных женщин-заключенных, то это имеет место быть. В лагерях существовала практика сожительства с ВОХРавцами, целью ее скорее было не познание чувств материнства, а существование в ИТЛ в более мягких, пригодных для жизни условиях. Поэтому некоторые женщины </w:t>
      </w:r>
      <w:r w:rsidR="0041542C" w:rsidRPr="003A3010">
        <w:rPr>
          <w:rFonts w:ascii="Times New Roman" w:hAnsi="Times New Roman" w:cs="Times New Roman"/>
          <w:sz w:val="20"/>
          <w:szCs w:val="20"/>
        </w:rPr>
        <w:lastRenderedPageBreak/>
        <w:t>стремились иметь не одного ребенка</w:t>
      </w:r>
      <w:r w:rsidR="0041542C"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3"/>
      </w:r>
      <w:r w:rsidR="0041542C" w:rsidRPr="003A3010">
        <w:rPr>
          <w:rFonts w:ascii="Times New Roman" w:hAnsi="Times New Roman" w:cs="Times New Roman"/>
          <w:sz w:val="20"/>
          <w:szCs w:val="20"/>
        </w:rPr>
        <w:t xml:space="preserve">. </w:t>
      </w:r>
      <w:r w:rsidR="00767475" w:rsidRPr="003A3010">
        <w:rPr>
          <w:rFonts w:ascii="Times New Roman" w:hAnsi="Times New Roman" w:cs="Times New Roman"/>
          <w:sz w:val="20"/>
          <w:szCs w:val="20"/>
        </w:rPr>
        <w:t>Хотя, справедли</w:t>
      </w:r>
      <w:r w:rsidR="004E0402" w:rsidRPr="003A3010">
        <w:rPr>
          <w:rFonts w:ascii="Times New Roman" w:hAnsi="Times New Roman" w:cs="Times New Roman"/>
          <w:sz w:val="20"/>
          <w:szCs w:val="20"/>
        </w:rPr>
        <w:t>во будет заметить, что определенный</w:t>
      </w:r>
      <w:r w:rsidR="00767475" w:rsidRPr="003A3010">
        <w:rPr>
          <w:rFonts w:ascii="Times New Roman" w:hAnsi="Times New Roman" w:cs="Times New Roman"/>
          <w:sz w:val="20"/>
          <w:szCs w:val="20"/>
        </w:rPr>
        <w:t xml:space="preserve"> процент женщин рожали второго, а то и третьего, чтобы увидеть первого своего малыша.</w:t>
      </w:r>
      <w:r w:rsidR="00AF19E0" w:rsidRPr="003A30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587" w:rsidRPr="003A3010" w:rsidRDefault="008145E9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3010">
        <w:rPr>
          <w:rFonts w:ascii="Times New Roman" w:hAnsi="Times New Roman" w:cs="Times New Roman"/>
          <w:sz w:val="20"/>
          <w:szCs w:val="20"/>
        </w:rPr>
        <w:t xml:space="preserve"> </w:t>
      </w:r>
      <w:r w:rsidR="00767475" w:rsidRPr="003A3010">
        <w:rPr>
          <w:rFonts w:ascii="Times New Roman" w:hAnsi="Times New Roman" w:cs="Times New Roman"/>
          <w:sz w:val="20"/>
          <w:szCs w:val="20"/>
        </w:rPr>
        <w:t>Вопрос о широкой сети родильных домов, а также яслей и детских садов для детей, рожденных в ГУЛАГе, также имеет неоднозначное решение. Атмосфера, сложившаяся в ИТЛ ГУЛАГа (на рассматриваемы момент времени) не была благоприятна для появления новой жизни на свет. Антисанитарные условия, отсутствие квалифицированной медицинской помощи, наличие множества болезней</w:t>
      </w:r>
      <w:r w:rsidR="00B601A4" w:rsidRPr="003A3010">
        <w:rPr>
          <w:rFonts w:ascii="Times New Roman" w:hAnsi="Times New Roman" w:cs="Times New Roman"/>
          <w:sz w:val="20"/>
          <w:szCs w:val="20"/>
        </w:rPr>
        <w:t xml:space="preserve"> и т.д. все это играло факт</w:t>
      </w:r>
      <w:r w:rsidR="004E0402" w:rsidRPr="003A3010">
        <w:rPr>
          <w:rFonts w:ascii="Times New Roman" w:hAnsi="Times New Roman" w:cs="Times New Roman"/>
          <w:sz w:val="20"/>
          <w:szCs w:val="20"/>
        </w:rPr>
        <w:t>ически решающую роль в вопросе выживаемости среди новорожденных. Тех, кому судьбой уг</w:t>
      </w:r>
      <w:r w:rsidR="002055D8" w:rsidRPr="003A3010">
        <w:rPr>
          <w:rFonts w:ascii="Times New Roman" w:hAnsi="Times New Roman" w:cs="Times New Roman"/>
          <w:sz w:val="20"/>
          <w:szCs w:val="20"/>
        </w:rPr>
        <w:t>отовлено было вопреки всему жить</w:t>
      </w:r>
      <w:r w:rsidR="004E0402" w:rsidRPr="003A3010">
        <w:rPr>
          <w:rFonts w:ascii="Times New Roman" w:hAnsi="Times New Roman" w:cs="Times New Roman"/>
          <w:sz w:val="20"/>
          <w:szCs w:val="20"/>
        </w:rPr>
        <w:t xml:space="preserve">, помещали </w:t>
      </w:r>
      <w:r w:rsidR="002055D8" w:rsidRPr="003A3010">
        <w:rPr>
          <w:rFonts w:ascii="Times New Roman" w:hAnsi="Times New Roman" w:cs="Times New Roman"/>
          <w:sz w:val="20"/>
          <w:szCs w:val="20"/>
        </w:rPr>
        <w:t>в специально созданные  дома младенца или детские дома (встречаются разные вариации). Здесь рожденные дети содержались с момента рождения до трехлетнего возраста, а затем отправлялись «на материк» как правило, теряя связь с матерью, а порой  с обоими родителями</w:t>
      </w:r>
      <w:r w:rsidR="002055D8"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4"/>
      </w:r>
      <w:r w:rsidR="002055D8" w:rsidRPr="003A3010">
        <w:rPr>
          <w:rFonts w:ascii="Times New Roman" w:hAnsi="Times New Roman" w:cs="Times New Roman"/>
          <w:sz w:val="20"/>
          <w:szCs w:val="20"/>
        </w:rPr>
        <w:t xml:space="preserve">. </w:t>
      </w:r>
      <w:r w:rsidR="001B02FA" w:rsidRPr="003A3010">
        <w:rPr>
          <w:rFonts w:ascii="Times New Roman" w:hAnsi="Times New Roman" w:cs="Times New Roman"/>
          <w:sz w:val="20"/>
          <w:szCs w:val="20"/>
        </w:rPr>
        <w:t>Помимо домов младенца организовывались и Детгородки (Деткомбинат)</w:t>
      </w:r>
      <w:r w:rsidR="001B02FA"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5"/>
      </w:r>
      <w:r w:rsidR="001B02FA" w:rsidRPr="003A3010">
        <w:rPr>
          <w:rFonts w:ascii="Times New Roman" w:hAnsi="Times New Roman" w:cs="Times New Roman"/>
          <w:sz w:val="20"/>
          <w:szCs w:val="20"/>
        </w:rPr>
        <w:t xml:space="preserve"> – выделенная зона, где содержались осужденные женщины вместе с детьми или же только младенцы, к которым в установленное время конвой приводил с работы матерей на кормление. </w:t>
      </w:r>
      <w:r w:rsidR="00340E2A" w:rsidRPr="003A3010">
        <w:rPr>
          <w:rFonts w:ascii="Times New Roman" w:hAnsi="Times New Roman" w:cs="Times New Roman"/>
          <w:sz w:val="20"/>
          <w:szCs w:val="20"/>
        </w:rPr>
        <w:t>На время пребывания детей в спец. домах обеспечение их одеждой, пищей, и всем необходимым брало на себя высшее руководство. Это можно видеть из документов</w:t>
      </w:r>
      <w:r w:rsidR="00CF0B63" w:rsidRPr="003A3010">
        <w:rPr>
          <w:rFonts w:ascii="Times New Roman" w:hAnsi="Times New Roman" w:cs="Times New Roman"/>
          <w:sz w:val="20"/>
          <w:szCs w:val="20"/>
        </w:rPr>
        <w:t>,</w:t>
      </w:r>
      <w:r w:rsidR="00340E2A" w:rsidRPr="003A3010">
        <w:rPr>
          <w:rFonts w:ascii="Times New Roman" w:hAnsi="Times New Roman" w:cs="Times New Roman"/>
          <w:sz w:val="20"/>
          <w:szCs w:val="20"/>
        </w:rPr>
        <w:t xml:space="preserve"> в которых принимались решения о выделении тому или иному детдому</w:t>
      </w:r>
      <w:r w:rsidR="00CF0B63" w:rsidRPr="003A3010">
        <w:rPr>
          <w:rFonts w:ascii="Times New Roman" w:hAnsi="Times New Roman" w:cs="Times New Roman"/>
          <w:sz w:val="20"/>
          <w:szCs w:val="20"/>
        </w:rPr>
        <w:t xml:space="preserve"> всего</w:t>
      </w:r>
      <w:r w:rsidR="00340E2A" w:rsidRPr="003A3010">
        <w:rPr>
          <w:rFonts w:ascii="Times New Roman" w:hAnsi="Times New Roman" w:cs="Times New Roman"/>
          <w:sz w:val="20"/>
          <w:szCs w:val="20"/>
        </w:rPr>
        <w:t xml:space="preserve"> необходимого (или допустимого)</w:t>
      </w:r>
      <w:r w:rsidR="00CF0B63" w:rsidRPr="003A3010">
        <w:rPr>
          <w:rFonts w:ascii="Times New Roman" w:hAnsi="Times New Roman" w:cs="Times New Roman"/>
          <w:sz w:val="20"/>
          <w:szCs w:val="20"/>
        </w:rPr>
        <w:t xml:space="preserve">. Точнее сказать, </w:t>
      </w:r>
      <w:r w:rsidR="00340E2A" w:rsidRPr="003A3010">
        <w:rPr>
          <w:rFonts w:ascii="Times New Roman" w:hAnsi="Times New Roman" w:cs="Times New Roman"/>
          <w:sz w:val="20"/>
          <w:szCs w:val="20"/>
        </w:rPr>
        <w:t xml:space="preserve"> </w:t>
      </w:r>
      <w:r w:rsidR="00CF0B63" w:rsidRPr="003A3010">
        <w:rPr>
          <w:rFonts w:ascii="Times New Roman" w:hAnsi="Times New Roman" w:cs="Times New Roman"/>
          <w:sz w:val="20"/>
          <w:szCs w:val="20"/>
        </w:rPr>
        <w:t>приказы, постановления, докладные записки пестрят сведеньями о насущных и особо остро стоящих проблемах. К примеру, в Национальном архиве Республики Коми хранится докладная записка начальнику ГУЛАГа ОГПУ «Общее состояние спецпереселенцев в Северном крае»</w:t>
      </w:r>
      <w:r w:rsidR="00CF0B63" w:rsidRPr="003A3010">
        <w:rPr>
          <w:rStyle w:val="a6"/>
          <w:rFonts w:ascii="Times New Roman" w:hAnsi="Times New Roman" w:cs="Times New Roman"/>
          <w:sz w:val="20"/>
          <w:szCs w:val="20"/>
        </w:rPr>
        <w:footnoteReference w:id="6"/>
      </w:r>
      <w:r w:rsidR="00CF0B63" w:rsidRPr="003A3010">
        <w:rPr>
          <w:rFonts w:ascii="Times New Roman" w:hAnsi="Times New Roman" w:cs="Times New Roman"/>
          <w:sz w:val="20"/>
          <w:szCs w:val="20"/>
        </w:rPr>
        <w:t>, в которой вполне четко определены самые животрепещущие проблемы, требующие</w:t>
      </w:r>
      <w:r w:rsidR="007B1F39" w:rsidRPr="003A3010">
        <w:rPr>
          <w:rFonts w:ascii="Times New Roman" w:hAnsi="Times New Roman" w:cs="Times New Roman"/>
          <w:sz w:val="20"/>
          <w:szCs w:val="20"/>
        </w:rPr>
        <w:t xml:space="preserve"> решения в  </w:t>
      </w:r>
      <w:r w:rsidR="00CF0B63" w:rsidRPr="003A3010">
        <w:rPr>
          <w:rFonts w:ascii="Times New Roman" w:hAnsi="Times New Roman" w:cs="Times New Roman"/>
          <w:sz w:val="20"/>
          <w:szCs w:val="20"/>
        </w:rPr>
        <w:t xml:space="preserve">кротчайший срок. </w:t>
      </w:r>
      <w:r w:rsidR="007B1F39" w:rsidRPr="003A3010">
        <w:rPr>
          <w:rFonts w:ascii="Times New Roman" w:hAnsi="Times New Roman" w:cs="Times New Roman"/>
          <w:sz w:val="20"/>
          <w:szCs w:val="20"/>
        </w:rPr>
        <w:t>К ним относятся продовольственная проблема, недостаток одежды и фактическое отсутствие постельных принадлежностей. Здесь, как мы видим, явное несоответствие между тем как было прописано в законе и тем как было на самом деле. Да, автор упустил из виду, несмотря на то, что дети рождались от заключенных родителей и в местах лишения свободы сами они приравнивались к свободным гражданам страны Советов. Поэтому государство и уделяло проблеме нехватки</w:t>
      </w:r>
      <w:r w:rsidR="008F4A3C" w:rsidRPr="003A3010">
        <w:rPr>
          <w:rFonts w:ascii="Times New Roman" w:hAnsi="Times New Roman" w:cs="Times New Roman"/>
          <w:sz w:val="20"/>
          <w:szCs w:val="20"/>
        </w:rPr>
        <w:t xml:space="preserve"> необходимых товаров столь пристальное внимание. </w:t>
      </w:r>
    </w:p>
    <w:p w:rsidR="003A3010" w:rsidRDefault="003A3010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Конечно</w:t>
      </w:r>
      <w:r w:rsidR="00935AA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вопрос обеспечения д</w:t>
      </w:r>
      <w:r w:rsidR="00935AA9">
        <w:rPr>
          <w:rFonts w:ascii="Times New Roman" w:hAnsi="Times New Roman" w:cs="Times New Roman"/>
          <w:sz w:val="20"/>
          <w:szCs w:val="20"/>
        </w:rPr>
        <w:t>етдомов интересный и даже важен</w:t>
      </w:r>
      <w:r>
        <w:rPr>
          <w:rFonts w:ascii="Times New Roman" w:hAnsi="Times New Roman" w:cs="Times New Roman"/>
          <w:sz w:val="20"/>
          <w:szCs w:val="20"/>
        </w:rPr>
        <w:t xml:space="preserve"> при изучении </w:t>
      </w:r>
      <w:r w:rsidR="00935AA9">
        <w:rPr>
          <w:rFonts w:ascii="Times New Roman" w:hAnsi="Times New Roman" w:cs="Times New Roman"/>
          <w:sz w:val="20"/>
          <w:szCs w:val="20"/>
        </w:rPr>
        <w:t xml:space="preserve">быта «гулаговских» детей. Но мне бы хотелось заметить, что это еще полбеды. Куда более серьезной была проблема размещения новорожденный и чуть старшего возраста. Элементарно не было специализированных помещений. Тому есть документальное подтверждение.  </w:t>
      </w:r>
      <w:r w:rsidR="002A2CEF">
        <w:rPr>
          <w:rFonts w:ascii="Times New Roman" w:hAnsi="Times New Roman" w:cs="Times New Roman"/>
          <w:sz w:val="20"/>
          <w:szCs w:val="20"/>
        </w:rPr>
        <w:t>В отчете о борьбе с детской беспризорностью за период 1917-1937 гг. по Коми Республике в частности говорится, что «беспризорность застала врасплох», «открывались детдома без подготовки, совершенно не в соответствующих помещениях»</w:t>
      </w:r>
      <w:r w:rsidR="002A2CEF">
        <w:rPr>
          <w:rStyle w:val="a6"/>
          <w:rFonts w:ascii="Times New Roman" w:hAnsi="Times New Roman" w:cs="Times New Roman"/>
          <w:sz w:val="20"/>
          <w:szCs w:val="20"/>
        </w:rPr>
        <w:footnoteReference w:id="7"/>
      </w:r>
      <w:r w:rsidR="002A2CEF">
        <w:rPr>
          <w:rFonts w:ascii="Times New Roman" w:hAnsi="Times New Roman" w:cs="Times New Roman"/>
          <w:sz w:val="20"/>
          <w:szCs w:val="20"/>
        </w:rPr>
        <w:t>.</w:t>
      </w:r>
      <w:r w:rsidR="00192F24">
        <w:rPr>
          <w:rFonts w:ascii="Times New Roman" w:hAnsi="Times New Roman" w:cs="Times New Roman"/>
          <w:sz w:val="20"/>
          <w:szCs w:val="20"/>
        </w:rPr>
        <w:t xml:space="preserve"> С этим главным образом и связывало местное и высшее советское руководство все оставшиеся, в большей степени бытовые, проблемы. </w:t>
      </w:r>
    </w:p>
    <w:p w:rsidR="00192F24" w:rsidRDefault="00192F24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виду того, что Конституция дает нам лишь одну статью с упоминанием </w:t>
      </w:r>
      <w:r w:rsidR="007B2A00">
        <w:rPr>
          <w:rFonts w:ascii="Times New Roman" w:hAnsi="Times New Roman" w:cs="Times New Roman"/>
          <w:sz w:val="20"/>
          <w:szCs w:val="20"/>
        </w:rPr>
        <w:t xml:space="preserve">о детях автору данной статьи ничего не остается, как подвести итоги своего небольшого исследования. </w:t>
      </w:r>
    </w:p>
    <w:p w:rsidR="007B2A00" w:rsidRPr="003A3010" w:rsidRDefault="007B2A00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Итак, из всего вышесказанного следует, что охрана материнства и детства была и остается одной из приоритетных задач государства. По возможности это пытались сделать и в пенитенциарной системе того времени. Но определенные трудности все-таки существовали. Вследствие чего практическое воплощение прописанных в главном законе государства  прав было куда сложнее и не всегда приводило к желаемым результатам.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010" w:rsidRPr="003A3010" w:rsidRDefault="003A3010" w:rsidP="003A301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A3010" w:rsidRPr="003A3010" w:rsidSect="00DA79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47" w:rsidRDefault="00A66347" w:rsidP="006E6589">
      <w:pPr>
        <w:spacing w:after="0" w:line="240" w:lineRule="auto"/>
      </w:pPr>
      <w:r>
        <w:separator/>
      </w:r>
    </w:p>
  </w:endnote>
  <w:endnote w:type="continuationSeparator" w:id="0">
    <w:p w:rsidR="00A66347" w:rsidRDefault="00A66347" w:rsidP="006E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47" w:rsidRDefault="00A66347" w:rsidP="006E6589">
      <w:pPr>
        <w:spacing w:after="0" w:line="240" w:lineRule="auto"/>
      </w:pPr>
      <w:r>
        <w:separator/>
      </w:r>
    </w:p>
  </w:footnote>
  <w:footnote w:type="continuationSeparator" w:id="0">
    <w:p w:rsidR="00A66347" w:rsidRDefault="00A66347" w:rsidP="006E6589">
      <w:pPr>
        <w:spacing w:after="0" w:line="240" w:lineRule="auto"/>
      </w:pPr>
      <w:r>
        <w:continuationSeparator/>
      </w:r>
    </w:p>
  </w:footnote>
  <w:footnote w:id="1">
    <w:p w:rsidR="006E6589" w:rsidRPr="006E6589" w:rsidRDefault="006E6589">
      <w:pPr>
        <w:pStyle w:val="a4"/>
      </w:pPr>
      <w:r>
        <w:rPr>
          <w:rStyle w:val="a6"/>
        </w:rPr>
        <w:footnoteRef/>
      </w:r>
      <w:r>
        <w:t xml:space="preserve"> </w:t>
      </w:r>
      <w:r w:rsidR="00A274A4">
        <w:t>Цит.</w:t>
      </w:r>
      <w:r>
        <w:t xml:space="preserve"> по: Ростова О.С. Правовая охрана материнства и детства в советском государстве. Саратов. 2007.</w:t>
      </w:r>
      <w:r w:rsidRPr="00A274A4">
        <w:t>/</w:t>
      </w:r>
      <w:r>
        <w:t>Автореферат (</w:t>
      </w:r>
      <w:hyperlink r:id="rId1" w:history="1">
        <w:r w:rsidRPr="006E6589">
          <w:rPr>
            <w:rStyle w:val="a7"/>
            <w:color w:val="auto"/>
            <w:u w:val="none"/>
          </w:rPr>
          <w:t>http://lawtheses.com</w:t>
        </w:r>
      </w:hyperlink>
      <w:r>
        <w:t>, дата обращения 28.11.13., 18:40)</w:t>
      </w:r>
    </w:p>
  </w:footnote>
  <w:footnote w:id="2">
    <w:p w:rsidR="00453A8A" w:rsidRDefault="00453A8A">
      <w:pPr>
        <w:pStyle w:val="a4"/>
      </w:pPr>
      <w:r>
        <w:rPr>
          <w:rStyle w:val="a6"/>
        </w:rPr>
        <w:footnoteRef/>
      </w:r>
      <w:r>
        <w:t xml:space="preserve"> Конституция СССР 1936 г. (</w:t>
      </w:r>
      <w:hyperlink r:id="rId2" w:history="1">
        <w:r w:rsidRPr="00453A8A">
          <w:rPr>
            <w:rStyle w:val="a7"/>
            <w:color w:val="auto"/>
            <w:u w:val="none"/>
          </w:rPr>
          <w:t>http://www.hist.msu.ru</w:t>
        </w:r>
      </w:hyperlink>
      <w:r>
        <w:t>, дата обращения 28.11.13., 18:50)</w:t>
      </w:r>
    </w:p>
  </w:footnote>
  <w:footnote w:id="3">
    <w:p w:rsidR="0041542C" w:rsidRPr="0041542C" w:rsidRDefault="0041542C">
      <w:pPr>
        <w:pStyle w:val="a4"/>
      </w:pPr>
      <w:r>
        <w:rPr>
          <w:rStyle w:val="a6"/>
        </w:rPr>
        <w:footnoteRef/>
      </w:r>
      <w:r>
        <w:t xml:space="preserve"> Максимова Л.А. Женщины в ГУЛАГе/</w:t>
      </w:r>
      <w:r w:rsidRPr="0041542C">
        <w:t>/</w:t>
      </w:r>
      <w:r>
        <w:t xml:space="preserve"> Материалы научно-практической конференции. Гендерная теория и историческое знание. Сыктывкар. 2003. С 80-83.</w:t>
      </w:r>
    </w:p>
  </w:footnote>
  <w:footnote w:id="4">
    <w:p w:rsidR="002055D8" w:rsidRDefault="002055D8">
      <w:pPr>
        <w:pStyle w:val="a4"/>
      </w:pPr>
      <w:r>
        <w:rPr>
          <w:rStyle w:val="a6"/>
        </w:rPr>
        <w:footnoteRef/>
      </w:r>
      <w:r>
        <w:t xml:space="preserve"> Войтоловская А. Л. По следам судьбы моего поколения. Сыктывкар. 1991. С. 143. </w:t>
      </w:r>
    </w:p>
  </w:footnote>
  <w:footnote w:id="5">
    <w:p w:rsidR="001B02FA" w:rsidRDefault="001B02FA">
      <w:pPr>
        <w:pStyle w:val="a4"/>
      </w:pPr>
      <w:r>
        <w:rPr>
          <w:rStyle w:val="a6"/>
        </w:rPr>
        <w:footnoteRef/>
      </w:r>
      <w:r>
        <w:t xml:space="preserve"> Росси Ж. </w:t>
      </w:r>
      <w:r w:rsidR="00340E2A">
        <w:t>Справочник</w:t>
      </w:r>
      <w:r>
        <w:t xml:space="preserve"> по ГУЛАГу. М., 1992. (</w:t>
      </w:r>
      <w:hyperlink r:id="rId3" w:history="1">
        <w:r w:rsidRPr="001B02FA">
          <w:rPr>
            <w:rStyle w:val="a7"/>
            <w:color w:val="auto"/>
            <w:u w:val="none"/>
          </w:rPr>
          <w:t>http://www.memorial.krsk.ru</w:t>
        </w:r>
      </w:hyperlink>
      <w:r>
        <w:t>, дата обращения 3.12.2013, 18:50</w:t>
      </w:r>
      <w:r w:rsidRPr="001B02FA">
        <w:t>)</w:t>
      </w:r>
    </w:p>
  </w:footnote>
  <w:footnote w:id="6">
    <w:p w:rsidR="00CF0B63" w:rsidRDefault="00CF0B63">
      <w:pPr>
        <w:pStyle w:val="a4"/>
      </w:pPr>
      <w:r>
        <w:rPr>
          <w:rStyle w:val="a6"/>
        </w:rPr>
        <w:footnoteRef/>
      </w:r>
      <w:r>
        <w:t xml:space="preserve"> ГУ РК «НАРК»</w:t>
      </w:r>
      <w:r w:rsidR="00192F24">
        <w:t>.</w:t>
      </w:r>
      <w:r>
        <w:t xml:space="preserve"> Ф.148. Оп.1. Д.578. Л.71.</w:t>
      </w:r>
    </w:p>
  </w:footnote>
  <w:footnote w:id="7">
    <w:p w:rsidR="002A2CEF" w:rsidRDefault="002A2CEF">
      <w:pPr>
        <w:pStyle w:val="a4"/>
      </w:pPr>
      <w:r>
        <w:rPr>
          <w:rStyle w:val="a6"/>
        </w:rPr>
        <w:footnoteRef/>
      </w:r>
      <w:r>
        <w:t xml:space="preserve"> ГУ РК «НАРК».</w:t>
      </w:r>
      <w:r w:rsidR="00192F24">
        <w:t xml:space="preserve"> Ф.1001. Оп.1. Д.4. Л.1.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1"/>
    <w:rsid w:val="00192F24"/>
    <w:rsid w:val="001B02FA"/>
    <w:rsid w:val="002055D8"/>
    <w:rsid w:val="00232C63"/>
    <w:rsid w:val="002373E2"/>
    <w:rsid w:val="002A2CEF"/>
    <w:rsid w:val="00340E2A"/>
    <w:rsid w:val="003A3010"/>
    <w:rsid w:val="0041542C"/>
    <w:rsid w:val="00453A8A"/>
    <w:rsid w:val="004D6BE8"/>
    <w:rsid w:val="004E0402"/>
    <w:rsid w:val="004E53E0"/>
    <w:rsid w:val="00512F7B"/>
    <w:rsid w:val="005F6E51"/>
    <w:rsid w:val="0069516A"/>
    <w:rsid w:val="006E6589"/>
    <w:rsid w:val="0073209C"/>
    <w:rsid w:val="00767475"/>
    <w:rsid w:val="007B1F39"/>
    <w:rsid w:val="007B2A00"/>
    <w:rsid w:val="008145E9"/>
    <w:rsid w:val="0084598A"/>
    <w:rsid w:val="008F4A3C"/>
    <w:rsid w:val="00935AA9"/>
    <w:rsid w:val="00940030"/>
    <w:rsid w:val="009D430A"/>
    <w:rsid w:val="00A274A4"/>
    <w:rsid w:val="00A66347"/>
    <w:rsid w:val="00AF19E0"/>
    <w:rsid w:val="00B601A4"/>
    <w:rsid w:val="00BD7E88"/>
    <w:rsid w:val="00C74587"/>
    <w:rsid w:val="00CF0B63"/>
    <w:rsid w:val="00D3010C"/>
    <w:rsid w:val="00D723C9"/>
    <w:rsid w:val="00DA5DB4"/>
    <w:rsid w:val="00DA7906"/>
    <w:rsid w:val="00DF75B9"/>
    <w:rsid w:val="00E168E1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09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E6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589"/>
    <w:rPr>
      <w:vertAlign w:val="superscript"/>
    </w:rPr>
  </w:style>
  <w:style w:type="character" w:styleId="a7">
    <w:name w:val="Hyperlink"/>
    <w:basedOn w:val="a0"/>
    <w:uiPriority w:val="99"/>
    <w:unhideWhenUsed/>
    <w:rsid w:val="006E6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09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E6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589"/>
    <w:rPr>
      <w:vertAlign w:val="superscript"/>
    </w:rPr>
  </w:style>
  <w:style w:type="character" w:styleId="a7">
    <w:name w:val="Hyperlink"/>
    <w:basedOn w:val="a0"/>
    <w:uiPriority w:val="99"/>
    <w:unhideWhenUsed/>
    <w:rsid w:val="006E6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morial.krsk.ru/" TargetMode="External"/><Relationship Id="rId2" Type="http://schemas.openxmlformats.org/officeDocument/2006/relationships/hyperlink" Target="http://www.hist.msu.ru/" TargetMode="External"/><Relationship Id="rId1" Type="http://schemas.openxmlformats.org/officeDocument/2006/relationships/hyperlink" Target="http://lawthes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327-A0DC-4A3E-A721-27BEA92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Санта_С</dc:creator>
  <cp:lastModifiedBy>Санта_С</cp:lastModifiedBy>
  <cp:revision>3</cp:revision>
  <dcterms:created xsi:type="dcterms:W3CDTF">2013-12-03T16:51:00Z</dcterms:created>
  <dcterms:modified xsi:type="dcterms:W3CDTF">2013-12-04T13:12:00Z</dcterms:modified>
</cp:coreProperties>
</file>